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59A932BB" w14:textId="658C8234" w:rsidR="00FF6FC1" w:rsidRDefault="00FF6FC1" w:rsidP="00FF6FC1">
      <w:pPr>
        <w:pStyle w:val="Heading2"/>
      </w:pPr>
      <w:r>
        <w:t>soakage pits</w:t>
      </w:r>
    </w:p>
    <w:p w14:paraId="1E7E3A22" w14:textId="10AB7E28" w:rsidR="00060A1A" w:rsidRDefault="00FF6FC1" w:rsidP="00060A1A">
      <w:r>
        <w:t xml:space="preserve">Sizing of soakage pits, trenches and drain fields depends local site soil infiltration rates and the quantity of </w:t>
      </w:r>
      <w:r w:rsidR="00566B0A">
        <w:t>wastewater</w:t>
      </w:r>
      <w:r>
        <w:t xml:space="preserve"> that is expected. Soakage pit dimensions should be determined by on-site soil infiltration tests</w:t>
      </w:r>
      <w:r w:rsidR="00566B0A">
        <w:t>, considering soil types and infiltration rates noted below.</w:t>
      </w:r>
    </w:p>
    <w:tbl>
      <w:tblPr>
        <w:tblStyle w:val="TableGrid"/>
        <w:tblW w:w="8392"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3402"/>
        <w:gridCol w:w="3118"/>
      </w:tblGrid>
      <w:tr w:rsidR="00566B0A" w14:paraId="68BACB1F" w14:textId="77777777" w:rsidTr="00060A1A">
        <w:trPr>
          <w:trHeight w:val="361"/>
        </w:trPr>
        <w:tc>
          <w:tcPr>
            <w:tcW w:w="1872" w:type="dxa"/>
            <w:tcBorders>
              <w:top w:val="single" w:sz="4" w:space="0" w:color="auto"/>
            </w:tcBorders>
            <w:vAlign w:val="center"/>
          </w:tcPr>
          <w:p w14:paraId="0687A44E" w14:textId="77777777" w:rsidR="00566B0A" w:rsidRDefault="00566B0A" w:rsidP="00566B0A">
            <w:pPr>
              <w:spacing w:after="0" w:line="240" w:lineRule="auto"/>
              <w:ind w:left="0"/>
              <w:jc w:val="center"/>
            </w:pPr>
          </w:p>
        </w:tc>
        <w:tc>
          <w:tcPr>
            <w:tcW w:w="6520" w:type="dxa"/>
            <w:gridSpan w:val="2"/>
            <w:tcBorders>
              <w:top w:val="single" w:sz="4" w:space="0" w:color="auto"/>
            </w:tcBorders>
            <w:vAlign w:val="center"/>
          </w:tcPr>
          <w:p w14:paraId="31E63CE4" w14:textId="1C652844" w:rsidR="00566B0A" w:rsidRPr="00363531" w:rsidRDefault="00566B0A" w:rsidP="00566B0A">
            <w:pPr>
              <w:spacing w:after="0" w:line="240" w:lineRule="auto"/>
              <w:ind w:left="0"/>
              <w:jc w:val="center"/>
            </w:pPr>
            <w:r w:rsidRPr="00363531">
              <w:t>Infiltration rate (litres/m2/day)</w:t>
            </w:r>
          </w:p>
        </w:tc>
      </w:tr>
      <w:tr w:rsidR="00566B0A" w14:paraId="532F35FF" w14:textId="77777777" w:rsidTr="00060A1A">
        <w:trPr>
          <w:trHeight w:val="409"/>
        </w:trPr>
        <w:tc>
          <w:tcPr>
            <w:tcW w:w="1872" w:type="dxa"/>
            <w:tcBorders>
              <w:bottom w:val="single" w:sz="4" w:space="0" w:color="auto"/>
            </w:tcBorders>
            <w:vAlign w:val="center"/>
          </w:tcPr>
          <w:p w14:paraId="610F4B5D" w14:textId="77777777" w:rsidR="00566B0A" w:rsidRDefault="00566B0A" w:rsidP="00566B0A">
            <w:pPr>
              <w:spacing w:after="0" w:line="240" w:lineRule="auto"/>
              <w:ind w:left="0"/>
              <w:jc w:val="center"/>
            </w:pPr>
          </w:p>
        </w:tc>
        <w:tc>
          <w:tcPr>
            <w:tcW w:w="3402" w:type="dxa"/>
            <w:tcBorders>
              <w:bottom w:val="single" w:sz="4" w:space="0" w:color="auto"/>
            </w:tcBorders>
            <w:vAlign w:val="center"/>
          </w:tcPr>
          <w:p w14:paraId="22CB063B" w14:textId="72C3D844" w:rsidR="00566B0A" w:rsidRPr="00363531" w:rsidRDefault="00566B0A" w:rsidP="00566B0A">
            <w:pPr>
              <w:spacing w:after="0" w:line="240" w:lineRule="auto"/>
              <w:ind w:left="0"/>
              <w:jc w:val="center"/>
            </w:pPr>
            <w:r w:rsidRPr="00363531">
              <w:t>clean water</w:t>
            </w:r>
          </w:p>
        </w:tc>
        <w:tc>
          <w:tcPr>
            <w:tcW w:w="3118" w:type="dxa"/>
            <w:tcBorders>
              <w:bottom w:val="single" w:sz="4" w:space="0" w:color="auto"/>
            </w:tcBorders>
            <w:vAlign w:val="center"/>
          </w:tcPr>
          <w:p w14:paraId="61BAB7EF" w14:textId="00ECE75E" w:rsidR="00566B0A" w:rsidRPr="00363531" w:rsidRDefault="00566B0A" w:rsidP="00566B0A">
            <w:pPr>
              <w:spacing w:after="0" w:line="240" w:lineRule="auto"/>
              <w:ind w:left="0"/>
              <w:jc w:val="center"/>
            </w:pPr>
            <w:r w:rsidRPr="00363531">
              <w:t>wastewater</w:t>
            </w:r>
          </w:p>
        </w:tc>
      </w:tr>
      <w:tr w:rsidR="00566B0A" w14:paraId="2130DAEE" w14:textId="77777777" w:rsidTr="00060A1A">
        <w:trPr>
          <w:trHeight w:val="428"/>
        </w:trPr>
        <w:tc>
          <w:tcPr>
            <w:tcW w:w="1872" w:type="dxa"/>
            <w:tcBorders>
              <w:top w:val="single" w:sz="4" w:space="0" w:color="auto"/>
            </w:tcBorders>
            <w:vAlign w:val="center"/>
          </w:tcPr>
          <w:p w14:paraId="5537603C" w14:textId="3935DF21" w:rsidR="00566B0A" w:rsidRDefault="00566B0A" w:rsidP="00566B0A">
            <w:pPr>
              <w:spacing w:after="0" w:line="240" w:lineRule="auto"/>
              <w:ind w:left="0"/>
              <w:jc w:val="left"/>
            </w:pPr>
            <w:r>
              <w:t>Sand</w:t>
            </w:r>
          </w:p>
        </w:tc>
        <w:tc>
          <w:tcPr>
            <w:tcW w:w="3402" w:type="dxa"/>
            <w:tcBorders>
              <w:top w:val="single" w:sz="4" w:space="0" w:color="auto"/>
            </w:tcBorders>
            <w:vAlign w:val="center"/>
          </w:tcPr>
          <w:p w14:paraId="4873CD84" w14:textId="063B83AF" w:rsidR="00566B0A" w:rsidRDefault="00566B0A" w:rsidP="00566B0A">
            <w:pPr>
              <w:spacing w:after="0" w:line="240" w:lineRule="auto"/>
              <w:ind w:left="0"/>
              <w:jc w:val="center"/>
            </w:pPr>
            <w:r>
              <w:t>720-2400</w:t>
            </w:r>
          </w:p>
        </w:tc>
        <w:tc>
          <w:tcPr>
            <w:tcW w:w="3118" w:type="dxa"/>
            <w:tcBorders>
              <w:top w:val="single" w:sz="4" w:space="0" w:color="auto"/>
            </w:tcBorders>
            <w:vAlign w:val="center"/>
          </w:tcPr>
          <w:p w14:paraId="1DA01420" w14:textId="204C4CCE" w:rsidR="00566B0A" w:rsidRDefault="00566B0A" w:rsidP="00566B0A">
            <w:pPr>
              <w:spacing w:after="0" w:line="240" w:lineRule="auto"/>
              <w:ind w:left="0"/>
              <w:jc w:val="center"/>
            </w:pPr>
            <w:r>
              <w:t>33-50</w:t>
            </w:r>
          </w:p>
        </w:tc>
      </w:tr>
      <w:tr w:rsidR="00566B0A" w14:paraId="73AE9443" w14:textId="77777777" w:rsidTr="00060A1A">
        <w:trPr>
          <w:trHeight w:val="435"/>
        </w:trPr>
        <w:tc>
          <w:tcPr>
            <w:tcW w:w="1872" w:type="dxa"/>
            <w:vAlign w:val="center"/>
          </w:tcPr>
          <w:p w14:paraId="6A4BA4FD" w14:textId="1ADCF623" w:rsidR="00566B0A" w:rsidRDefault="00566B0A" w:rsidP="00566B0A">
            <w:pPr>
              <w:spacing w:after="0" w:line="240" w:lineRule="auto"/>
              <w:ind w:left="0"/>
              <w:jc w:val="left"/>
            </w:pPr>
            <w:r>
              <w:t>Sandy loam</w:t>
            </w:r>
          </w:p>
        </w:tc>
        <w:tc>
          <w:tcPr>
            <w:tcW w:w="3402" w:type="dxa"/>
            <w:vAlign w:val="center"/>
          </w:tcPr>
          <w:p w14:paraId="73057784" w14:textId="2B57CAF4" w:rsidR="00566B0A" w:rsidRDefault="00566B0A" w:rsidP="00566B0A">
            <w:pPr>
              <w:spacing w:after="0" w:line="240" w:lineRule="auto"/>
              <w:ind w:left="0"/>
              <w:jc w:val="center"/>
            </w:pPr>
            <w:r>
              <w:t>480-720</w:t>
            </w:r>
          </w:p>
        </w:tc>
        <w:tc>
          <w:tcPr>
            <w:tcW w:w="3118" w:type="dxa"/>
            <w:vAlign w:val="center"/>
          </w:tcPr>
          <w:p w14:paraId="33C6FB97" w14:textId="5AACEA68" w:rsidR="00566B0A" w:rsidRDefault="00566B0A" w:rsidP="00566B0A">
            <w:pPr>
              <w:spacing w:after="0" w:line="240" w:lineRule="auto"/>
              <w:ind w:left="0"/>
              <w:jc w:val="center"/>
            </w:pPr>
            <w:r>
              <w:t>24</w:t>
            </w:r>
          </w:p>
        </w:tc>
      </w:tr>
      <w:tr w:rsidR="00566B0A" w14:paraId="2FC2DB7D" w14:textId="77777777" w:rsidTr="00060A1A">
        <w:trPr>
          <w:trHeight w:val="413"/>
        </w:trPr>
        <w:tc>
          <w:tcPr>
            <w:tcW w:w="1872" w:type="dxa"/>
            <w:vAlign w:val="center"/>
          </w:tcPr>
          <w:p w14:paraId="0B7AC854" w14:textId="2837AF4A" w:rsidR="00566B0A" w:rsidRDefault="00566B0A" w:rsidP="00566B0A">
            <w:pPr>
              <w:spacing w:after="0" w:line="240" w:lineRule="auto"/>
              <w:ind w:left="0"/>
              <w:jc w:val="left"/>
            </w:pPr>
            <w:r>
              <w:t>Silt loam</w:t>
            </w:r>
          </w:p>
        </w:tc>
        <w:tc>
          <w:tcPr>
            <w:tcW w:w="3402" w:type="dxa"/>
            <w:vAlign w:val="center"/>
          </w:tcPr>
          <w:p w14:paraId="0063E6E8" w14:textId="26B2CA92" w:rsidR="00566B0A" w:rsidRDefault="00566B0A" w:rsidP="00566B0A">
            <w:pPr>
              <w:spacing w:after="0" w:line="240" w:lineRule="auto"/>
              <w:ind w:left="0"/>
              <w:jc w:val="center"/>
            </w:pPr>
            <w:r>
              <w:t>240-480</w:t>
            </w:r>
          </w:p>
        </w:tc>
        <w:tc>
          <w:tcPr>
            <w:tcW w:w="3118" w:type="dxa"/>
            <w:vAlign w:val="center"/>
          </w:tcPr>
          <w:p w14:paraId="139E0217" w14:textId="2094EE9D" w:rsidR="00566B0A" w:rsidRDefault="00566B0A" w:rsidP="00566B0A">
            <w:pPr>
              <w:spacing w:after="0" w:line="240" w:lineRule="auto"/>
              <w:ind w:left="0"/>
              <w:jc w:val="center"/>
            </w:pPr>
            <w:r>
              <w:t>18</w:t>
            </w:r>
          </w:p>
        </w:tc>
      </w:tr>
      <w:tr w:rsidR="00566B0A" w14:paraId="5725A08B" w14:textId="77777777" w:rsidTr="00060A1A">
        <w:trPr>
          <w:trHeight w:val="433"/>
        </w:trPr>
        <w:tc>
          <w:tcPr>
            <w:tcW w:w="1872" w:type="dxa"/>
            <w:vAlign w:val="center"/>
          </w:tcPr>
          <w:p w14:paraId="616B15EB" w14:textId="4B4E0ECB" w:rsidR="00566B0A" w:rsidRDefault="00566B0A" w:rsidP="00566B0A">
            <w:pPr>
              <w:spacing w:after="0" w:line="240" w:lineRule="auto"/>
              <w:ind w:left="0"/>
              <w:jc w:val="left"/>
            </w:pPr>
            <w:r>
              <w:t>Clay loam</w:t>
            </w:r>
          </w:p>
        </w:tc>
        <w:tc>
          <w:tcPr>
            <w:tcW w:w="3402" w:type="dxa"/>
            <w:vAlign w:val="center"/>
          </w:tcPr>
          <w:p w14:paraId="6434BDAC" w14:textId="3AB0DEC7" w:rsidR="00566B0A" w:rsidRDefault="00566B0A" w:rsidP="00566B0A">
            <w:pPr>
              <w:spacing w:after="0" w:line="240" w:lineRule="auto"/>
              <w:ind w:left="0"/>
              <w:jc w:val="center"/>
            </w:pPr>
            <w:r>
              <w:t>120-240</w:t>
            </w:r>
          </w:p>
        </w:tc>
        <w:tc>
          <w:tcPr>
            <w:tcW w:w="3118" w:type="dxa"/>
            <w:vAlign w:val="center"/>
          </w:tcPr>
          <w:p w14:paraId="565D5F80" w14:textId="0C92B96E" w:rsidR="00566B0A" w:rsidRDefault="00566B0A" w:rsidP="00566B0A">
            <w:pPr>
              <w:spacing w:after="0" w:line="240" w:lineRule="auto"/>
              <w:ind w:left="0"/>
              <w:jc w:val="center"/>
            </w:pPr>
            <w:r>
              <w:t>8</w:t>
            </w:r>
          </w:p>
        </w:tc>
      </w:tr>
      <w:tr w:rsidR="00060A1A" w14:paraId="73392726" w14:textId="77777777" w:rsidTr="00060A1A">
        <w:trPr>
          <w:trHeight w:val="424"/>
        </w:trPr>
        <w:tc>
          <w:tcPr>
            <w:tcW w:w="1872" w:type="dxa"/>
            <w:tcBorders>
              <w:bottom w:val="single" w:sz="4" w:space="0" w:color="auto"/>
            </w:tcBorders>
            <w:vAlign w:val="center"/>
          </w:tcPr>
          <w:p w14:paraId="598CD5AD" w14:textId="2403BC0F" w:rsidR="00566B0A" w:rsidRDefault="00566B0A" w:rsidP="00566B0A">
            <w:pPr>
              <w:spacing w:after="0" w:line="240" w:lineRule="auto"/>
              <w:ind w:left="0"/>
              <w:jc w:val="left"/>
            </w:pPr>
            <w:r>
              <w:t>Clay</w:t>
            </w:r>
          </w:p>
        </w:tc>
        <w:tc>
          <w:tcPr>
            <w:tcW w:w="3402" w:type="dxa"/>
            <w:tcBorders>
              <w:bottom w:val="single" w:sz="4" w:space="0" w:color="auto"/>
            </w:tcBorders>
            <w:vAlign w:val="center"/>
          </w:tcPr>
          <w:p w14:paraId="0AEE3E3E" w14:textId="3067CE9C" w:rsidR="00566B0A" w:rsidRDefault="00566B0A" w:rsidP="00566B0A">
            <w:pPr>
              <w:spacing w:after="0" w:line="240" w:lineRule="auto"/>
              <w:ind w:left="0"/>
              <w:jc w:val="center"/>
            </w:pPr>
            <w:r>
              <w:t>24-120</w:t>
            </w:r>
          </w:p>
        </w:tc>
        <w:tc>
          <w:tcPr>
            <w:tcW w:w="3118" w:type="dxa"/>
            <w:tcBorders>
              <w:bottom w:val="single" w:sz="4" w:space="0" w:color="auto"/>
            </w:tcBorders>
            <w:vAlign w:val="center"/>
          </w:tcPr>
          <w:p w14:paraId="70D695AE" w14:textId="047483B2" w:rsidR="00566B0A" w:rsidRDefault="00566B0A" w:rsidP="00566B0A">
            <w:pPr>
              <w:spacing w:after="0" w:line="240" w:lineRule="auto"/>
              <w:ind w:left="0"/>
              <w:jc w:val="center"/>
            </w:pPr>
            <w:r>
              <w:t>Unsuitable</w:t>
            </w:r>
          </w:p>
        </w:tc>
      </w:tr>
      <w:tr w:rsidR="00060A1A" w14:paraId="49DF8443" w14:textId="77777777" w:rsidTr="00060A1A">
        <w:trPr>
          <w:trHeight w:val="424"/>
        </w:trPr>
        <w:tc>
          <w:tcPr>
            <w:tcW w:w="8392" w:type="dxa"/>
            <w:gridSpan w:val="3"/>
            <w:tcBorders>
              <w:top w:val="single" w:sz="4" w:space="0" w:color="auto"/>
            </w:tcBorders>
            <w:vAlign w:val="center"/>
          </w:tcPr>
          <w:p w14:paraId="060A07F2" w14:textId="1C7E8D28" w:rsidR="00060A1A" w:rsidRPr="00060A1A" w:rsidRDefault="00060A1A" w:rsidP="00060A1A">
            <w:pPr>
              <w:spacing w:after="0" w:line="240" w:lineRule="auto"/>
              <w:ind w:left="0"/>
              <w:jc w:val="left"/>
              <w:rPr>
                <w:i/>
                <w:iCs/>
                <w:sz w:val="18"/>
                <w:szCs w:val="18"/>
              </w:rPr>
            </w:pPr>
            <w:r w:rsidRPr="00060A1A">
              <w:rPr>
                <w:i/>
                <w:iCs/>
                <w:sz w:val="18"/>
                <w:szCs w:val="18"/>
              </w:rPr>
              <w:t>Source: Davis &amp; Lambert (2002) Engineering in Emergencies</w:t>
            </w:r>
            <w:r>
              <w:rPr>
                <w:i/>
                <w:iCs/>
                <w:sz w:val="18"/>
                <w:szCs w:val="18"/>
              </w:rPr>
              <w:t>, 2</w:t>
            </w:r>
            <w:r w:rsidRPr="00060A1A">
              <w:rPr>
                <w:i/>
                <w:iCs/>
                <w:sz w:val="18"/>
                <w:szCs w:val="18"/>
                <w:vertAlign w:val="superscript"/>
              </w:rPr>
              <w:t>nd</w:t>
            </w:r>
            <w:r>
              <w:rPr>
                <w:i/>
                <w:iCs/>
                <w:sz w:val="18"/>
                <w:szCs w:val="18"/>
              </w:rPr>
              <w:t xml:space="preserve"> edition. Practical Action Publishing: Warwickshire</w:t>
            </w:r>
          </w:p>
        </w:tc>
      </w:tr>
    </w:tbl>
    <w:p w14:paraId="3F9D5388" w14:textId="77777777" w:rsidR="00060A1A" w:rsidRDefault="00060A1A" w:rsidP="00060A1A"/>
    <w:p w14:paraId="25217C55" w14:textId="6D59AC06" w:rsidR="00060A1A" w:rsidRPr="007F17A3" w:rsidRDefault="00060A1A" w:rsidP="00060A1A">
      <w:r>
        <w:t>Water collection and usage points should be equipped with adequately designed soakage systems located at least 30 metres away from groundwater sources. A soakage pit base must be at least 1.5m above the highest average groundwater table level.</w:t>
      </w:r>
    </w:p>
    <w:p w14:paraId="2CA30B14" w14:textId="12880197" w:rsidR="006237FE" w:rsidRDefault="006237FE" w:rsidP="006237FE">
      <w:pPr>
        <w:pStyle w:val="Heading2"/>
      </w:pPr>
      <w:r>
        <w:t xml:space="preserve">prevention of </w:t>
      </w:r>
      <w:r w:rsidR="00231594">
        <w:t>surface or groundwater contamination</w:t>
      </w:r>
    </w:p>
    <w:p w14:paraId="69B07E44" w14:textId="65523402" w:rsidR="00231594" w:rsidRPr="00231594" w:rsidRDefault="00231594" w:rsidP="00231594">
      <w:r>
        <w:t>Location and construction of water supply related infrastructure must avoid contamination of surface water and groundwater sources. Risks are generally low and related to contamination from water treatment chemicals, water treatment by-products and contamination from wastewater.</w:t>
      </w:r>
    </w:p>
    <w:p w14:paraId="2DCE3FDC" w14:textId="5C140FFA" w:rsidR="00231594" w:rsidRDefault="00231594" w:rsidP="00231594">
      <w:pPr>
        <w:pStyle w:val="Heading1"/>
      </w:pPr>
      <w:r>
        <w:lastRenderedPageBreak/>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09CE84DC" w14:textId="77777777" w:rsidR="00FB0D72" w:rsidRDefault="00FB0D72" w:rsidP="00FB0D72">
      <w:pPr>
        <w:pStyle w:val="Heading2"/>
      </w:pPr>
      <w:r>
        <w:t>Cement plaster</w:t>
      </w:r>
    </w:p>
    <w:p w14:paraId="7A6BEC62" w14:textId="13A725F6" w:rsidR="004602D8" w:rsidRDefault="004602D8" w:rsidP="00FB0D72">
      <w:r>
        <w:t xml:space="preserve">Cement plaster shall comprise </w:t>
      </w:r>
      <w:r w:rsidR="00CC5C9E">
        <w:t xml:space="preserve">ordinary </w:t>
      </w:r>
      <w:proofErr w:type="spellStart"/>
      <w:r w:rsidR="00CC5C9E">
        <w:t>p</w:t>
      </w:r>
      <w:r>
        <w:t>ortland</w:t>
      </w:r>
      <w:proofErr w:type="spellEnd"/>
      <w:r>
        <w:t xml:space="preserve"> cement, sand and water as specified herein. A </w:t>
      </w:r>
      <w:proofErr w:type="spellStart"/>
      <w:r>
        <w:t>cement:sand</w:t>
      </w:r>
      <w:proofErr w:type="spellEnd"/>
      <w:r>
        <w:t xml:space="preserve"> ratio of 1:4 shall be used unless otherwise noted. Cement plasters shall be applied to a minimum thickness of 1cm unless otherwise noted.</w:t>
      </w:r>
      <w:r w:rsidR="00650430">
        <w:t xml:space="preserve"> After application, plastered surfaces shall be cured (kept moist) for a minimum of 7 days.</w:t>
      </w:r>
    </w:p>
    <w:p w14:paraId="1CA3C2E3" w14:textId="4371409D" w:rsidR="00FB0D72" w:rsidRDefault="004602D8" w:rsidP="004F151F">
      <w:r>
        <w:t>Waterproof c</w:t>
      </w:r>
      <w:r w:rsidR="00FB0D72">
        <w:t xml:space="preserve">ement plasters for interior and exterior surfaces of water </w:t>
      </w:r>
      <w:r w:rsidR="00650430">
        <w:t>tank</w:t>
      </w:r>
      <w:r w:rsidR="00FB0D72">
        <w:t xml:space="preserve"> sh</w:t>
      </w:r>
      <w:r w:rsidR="00650430">
        <w:t xml:space="preserve">all </w:t>
      </w:r>
      <w:r w:rsidR="00FB0D72">
        <w:t xml:space="preserve">comprise </w:t>
      </w:r>
      <w:r w:rsidR="00650430">
        <w:t xml:space="preserve">3 </w:t>
      </w:r>
      <w:r w:rsidR="00FB0D72">
        <w:t>layers: 1) 6mm</w:t>
      </w:r>
      <w:r w:rsidR="005A2836">
        <w:t xml:space="preserve">, </w:t>
      </w:r>
      <w:r w:rsidR="00FB0D72">
        <w:t>1:4</w:t>
      </w:r>
      <w:r w:rsidR="005A2836">
        <w:t>,</w:t>
      </w:r>
      <w:r w:rsidR="00FB0D72">
        <w:t xml:space="preserve"> </w:t>
      </w:r>
      <w:proofErr w:type="gramStart"/>
      <w:r w:rsidR="00FB0D72">
        <w:t>spatter</w:t>
      </w:r>
      <w:r w:rsidR="004F151F">
        <w:t>-</w:t>
      </w:r>
      <w:r w:rsidR="00FB0D72">
        <w:t>dash</w:t>
      </w:r>
      <w:proofErr w:type="gramEnd"/>
      <w:r w:rsidR="00FB0D72">
        <w:t>, 2) 10mm</w:t>
      </w:r>
      <w:r w:rsidR="005A2836">
        <w:t>,</w:t>
      </w:r>
      <w:r w:rsidR="00FB0D72">
        <w:t xml:space="preserve"> 1:3</w:t>
      </w:r>
      <w:r w:rsidR="005A2836">
        <w:t>,</w:t>
      </w:r>
      <w:r w:rsidR="00FB0D72">
        <w:t xml:space="preserve"> rough finish, 3) 10mm</w:t>
      </w:r>
      <w:r w:rsidR="005A2836">
        <w:t>,</w:t>
      </w:r>
      <w:r w:rsidR="00FB0D72">
        <w:t xml:space="preserve"> 1:2</w:t>
      </w:r>
      <w:r w:rsidR="005A2836">
        <w:t>,</w:t>
      </w:r>
      <w:r w:rsidR="00FB0D72">
        <w:t xml:space="preserve"> smooth float. Each layer sh</w:t>
      </w:r>
      <w:r w:rsidR="00650430">
        <w:t>all</w:t>
      </w:r>
      <w:r w:rsidR="00FB0D72">
        <w:t xml:space="preserve"> be applied before the base layer is cured</w:t>
      </w:r>
      <w:r w:rsidR="005A2836">
        <w:t>, with</w:t>
      </w:r>
      <w:r w:rsidR="00FB0D72">
        <w:t xml:space="preserve"> the base layer </w:t>
      </w:r>
      <w:r w:rsidR="005A2836">
        <w:t xml:space="preserve">wetted and scratched </w:t>
      </w:r>
      <w:r w:rsidR="00FB0D72">
        <w:t>to ensure proper bonding. Waterproof plasters should be mixed with a waterproofing compound (</w:t>
      </w:r>
      <w:proofErr w:type="spellStart"/>
      <w:r w:rsidR="00FB0D72">
        <w:t>Sikalite</w:t>
      </w:r>
      <w:proofErr w:type="spellEnd"/>
      <w:r w:rsidR="00FB0D72">
        <w:t xml:space="preserve"> or equivalent) at </w:t>
      </w:r>
      <w:r w:rsidR="004F151F">
        <w:t>the dosage specified by the compound manufacturer</w:t>
      </w:r>
      <w:r w:rsidR="00FB0D72">
        <w:t>.</w:t>
      </w:r>
    </w:p>
    <w:p w14:paraId="51785049" w14:textId="77777777" w:rsidR="00FB0D72" w:rsidRDefault="00FB0D72" w:rsidP="00FB0D72">
      <w:pPr>
        <w:pStyle w:val="Heading2"/>
      </w:pPr>
      <w:r>
        <w:t>CEMENT MORTAR</w:t>
      </w:r>
    </w:p>
    <w:p w14:paraId="542AD231" w14:textId="471E48F7" w:rsidR="00FB0D72" w:rsidRDefault="00650430" w:rsidP="00650430">
      <w:r>
        <w:t xml:space="preserve">Cement mortar shall comprise Portland cement, sand and water as specified herein. A </w:t>
      </w:r>
      <w:proofErr w:type="spellStart"/>
      <w:r>
        <w:t>cement:sand</w:t>
      </w:r>
      <w:proofErr w:type="spellEnd"/>
      <w:r>
        <w:t xml:space="preserve"> ratio of 1:</w:t>
      </w:r>
      <w:r w:rsidR="00363531">
        <w:t>6</w:t>
      </w:r>
      <w:r>
        <w:t xml:space="preserve"> shall be used unless otherwise noted. Cement mortar in brick masonry and stone masonry shall be applied to a minimum thickness of </w:t>
      </w:r>
      <w:r w:rsidR="00363531">
        <w:t>6-10m</w:t>
      </w:r>
      <w:r>
        <w:t xml:space="preserve">m unless otherwise noted. After laying, mortar within brick and stone masonry shall be cured (kept moist) for a minimum of </w:t>
      </w:r>
      <w:r w:rsidR="00363531">
        <w:t>10</w:t>
      </w:r>
      <w:r>
        <w:t xml:space="preserve"> days.</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lastRenderedPageBreak/>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023511DF" w14:textId="591A145E" w:rsidR="00220EAB" w:rsidRDefault="00220EAB" w:rsidP="00220EAB">
      <w:pPr>
        <w:pStyle w:val="Heading2"/>
      </w:pPr>
      <w:r>
        <w:t>Steel reinforcement</w:t>
      </w:r>
    </w:p>
    <w:p w14:paraId="6CA06893" w14:textId="4AA1C3F8" w:rsidR="00220EAB" w:rsidRDefault="00220EAB" w:rsidP="00220EAB">
      <w:r>
        <w:t>Reinforcement bars sh</w:t>
      </w:r>
      <w:r w:rsidR="00FB0D72">
        <w:t>all</w:t>
      </w:r>
      <w:r>
        <w:t xml:space="preserve"> be free from rust and of the correct type and size for concrete construction work (typically a characteristic yield stress of at least 210 N/mm²). Steel reinforcement should be placed as per the designs (typically 7/8 of the slab or wall thickness) to ensure the bars function correctly in tension. All bars should have at least 12mm concrete cover.</w:t>
      </w:r>
    </w:p>
    <w:p w14:paraId="22F18529" w14:textId="77777777" w:rsidR="00FB0D72" w:rsidRDefault="00FB0D72" w:rsidP="00FB0D72"/>
    <w:p w14:paraId="040521D6" w14:textId="6EB63960" w:rsidR="00FB0D72" w:rsidRPr="00FB0D72" w:rsidRDefault="00FB0D72" w:rsidP="00A11CB8"/>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B7CD9"/>
    <w:rsid w:val="001C5A4B"/>
    <w:rsid w:val="00206419"/>
    <w:rsid w:val="00220EAB"/>
    <w:rsid w:val="00231594"/>
    <w:rsid w:val="002663F8"/>
    <w:rsid w:val="002F6E95"/>
    <w:rsid w:val="0036334C"/>
    <w:rsid w:val="00363531"/>
    <w:rsid w:val="0038783D"/>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97C46"/>
    <w:rsid w:val="009C67F0"/>
    <w:rsid w:val="00A11CB8"/>
    <w:rsid w:val="00A55CAB"/>
    <w:rsid w:val="00AA25FF"/>
    <w:rsid w:val="00B36772"/>
    <w:rsid w:val="00B64DD4"/>
    <w:rsid w:val="00BD7469"/>
    <w:rsid w:val="00C53FF0"/>
    <w:rsid w:val="00CA1099"/>
    <w:rsid w:val="00CC177C"/>
    <w:rsid w:val="00CC5C9E"/>
    <w:rsid w:val="00D75112"/>
    <w:rsid w:val="00DA1CC4"/>
    <w:rsid w:val="00DA2699"/>
    <w:rsid w:val="00E51C3B"/>
    <w:rsid w:val="00EE3642"/>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AE55DEB-7302-4B8B-B2FD-D76AD0C5F156}"/>
</file>

<file path=customXml/itemProps2.xml><?xml version="1.0" encoding="utf-8"?>
<ds:datastoreItem xmlns:ds="http://schemas.openxmlformats.org/officeDocument/2006/customXml" ds:itemID="{B35BA2F1-8439-409A-A66C-F0D659DA3A57}"/>
</file>

<file path=customXml/itemProps3.xml><?xml version="1.0" encoding="utf-8"?>
<ds:datastoreItem xmlns:ds="http://schemas.openxmlformats.org/officeDocument/2006/customXml" ds:itemID="{B37B38C8-E02C-4499-ACB4-20A5224B9810}"/>
</file>

<file path=docProps/app.xml><?xml version="1.0" encoding="utf-8"?>
<Properties xmlns="http://schemas.openxmlformats.org/officeDocument/2006/extended-properties" xmlns:vt="http://schemas.openxmlformats.org/officeDocument/2006/docPropsVTypes">
  <Template>Normal.dotm</Template>
  <TotalTime>2</TotalTime>
  <Pages>3</Pages>
  <Words>1100</Words>
  <Characters>6274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5</cp:revision>
  <dcterms:created xsi:type="dcterms:W3CDTF">2023-09-23T12:39:00Z</dcterms:created>
  <dcterms:modified xsi:type="dcterms:W3CDTF">2023-09-27T18:41:00Z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